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04" w:rsidRDefault="00E05543">
      <w:r>
        <w:t xml:space="preserve">Appendix 2 </w:t>
      </w:r>
    </w:p>
    <w:p w:rsidR="00E05543" w:rsidRPr="003A5EC4" w:rsidRDefault="003A5EC4">
      <w:pPr>
        <w:rPr>
          <w:rFonts w:ascii="Arial" w:hAnsi="Arial" w:cs="Arial"/>
          <w:b/>
          <w:sz w:val="24"/>
          <w:szCs w:val="24"/>
        </w:rPr>
      </w:pPr>
      <w:r w:rsidRPr="003A5EC4">
        <w:rPr>
          <w:rFonts w:ascii="Arial" w:hAnsi="Arial" w:cs="Arial"/>
          <w:b/>
          <w:sz w:val="24"/>
          <w:szCs w:val="24"/>
        </w:rPr>
        <w:t>Proposed</w:t>
      </w:r>
      <w:r w:rsidR="00E05543" w:rsidRPr="003A5EC4">
        <w:rPr>
          <w:rFonts w:ascii="Arial" w:hAnsi="Arial" w:cs="Arial"/>
          <w:b/>
          <w:sz w:val="24"/>
          <w:szCs w:val="24"/>
        </w:rPr>
        <w:t xml:space="preserve"> HMO Licence Fee structure </w:t>
      </w:r>
    </w:p>
    <w:p w:rsidR="00E05543" w:rsidRDefault="00E05543" w:rsidP="00E05543">
      <w:pPr>
        <w:rPr>
          <w:rFonts w:ascii="Arial" w:hAnsi="Arial" w:cs="Arial"/>
        </w:rPr>
      </w:pPr>
      <w:r w:rsidRPr="001D146A">
        <w:rPr>
          <w:rFonts w:ascii="Arial" w:hAnsi="Arial" w:cs="Arial"/>
        </w:rPr>
        <w:t>Oxford City Council</w:t>
      </w:r>
      <w:r>
        <w:rPr>
          <w:rFonts w:ascii="Arial" w:hAnsi="Arial" w:cs="Arial"/>
        </w:rPr>
        <w:t xml:space="preserve"> has a one, two, five year licence length scheme to reflect compliance with legislation and incentivise improvement in standards, management and professionalism among landlords.</w:t>
      </w:r>
    </w:p>
    <w:p w:rsidR="00E05543" w:rsidRDefault="00E05543" w:rsidP="00E05543">
      <w:pPr>
        <w:rPr>
          <w:rFonts w:ascii="Arial" w:hAnsi="Arial" w:cs="Arial"/>
        </w:rPr>
      </w:pPr>
      <w:r>
        <w:rPr>
          <w:rFonts w:ascii="Arial" w:hAnsi="Arial" w:cs="Arial"/>
        </w:rPr>
        <w:t>The current fee structure is as follows:</w:t>
      </w:r>
    </w:p>
    <w:tbl>
      <w:tblPr>
        <w:tblStyle w:val="TableGrid"/>
        <w:tblW w:w="0" w:type="auto"/>
        <w:tblLook w:val="04A0" w:firstRow="1" w:lastRow="0" w:firstColumn="1" w:lastColumn="0" w:noHBand="0" w:noVBand="1"/>
      </w:tblPr>
      <w:tblGrid>
        <w:gridCol w:w="1367"/>
        <w:gridCol w:w="1238"/>
        <w:gridCol w:w="1238"/>
        <w:gridCol w:w="4955"/>
      </w:tblGrid>
      <w:tr w:rsidR="00E05543" w:rsidTr="00D75BAB">
        <w:tc>
          <w:tcPr>
            <w:tcW w:w="1367" w:type="dxa"/>
            <w:shd w:val="clear" w:color="auto" w:fill="BFBFBF" w:themeFill="background1" w:themeFillShade="BF"/>
          </w:tcPr>
          <w:p w:rsidR="00E05543" w:rsidRDefault="00E05543" w:rsidP="00897B13">
            <w:pPr>
              <w:rPr>
                <w:rFonts w:ascii="Arial" w:hAnsi="Arial" w:cs="Arial"/>
              </w:rPr>
            </w:pPr>
            <w:r>
              <w:rPr>
                <w:rFonts w:ascii="Arial" w:hAnsi="Arial" w:cs="Arial"/>
              </w:rPr>
              <w:t>Category</w:t>
            </w:r>
          </w:p>
        </w:tc>
        <w:tc>
          <w:tcPr>
            <w:tcW w:w="1238" w:type="dxa"/>
            <w:shd w:val="clear" w:color="auto" w:fill="BFBFBF" w:themeFill="background1" w:themeFillShade="BF"/>
          </w:tcPr>
          <w:p w:rsidR="00E05543" w:rsidRDefault="00E05543" w:rsidP="00897B13">
            <w:pPr>
              <w:rPr>
                <w:rFonts w:ascii="Arial" w:hAnsi="Arial" w:cs="Arial"/>
              </w:rPr>
            </w:pPr>
            <w:r>
              <w:rPr>
                <w:rFonts w:ascii="Arial" w:hAnsi="Arial" w:cs="Arial"/>
              </w:rPr>
              <w:t>Type</w:t>
            </w:r>
          </w:p>
        </w:tc>
        <w:tc>
          <w:tcPr>
            <w:tcW w:w="1238" w:type="dxa"/>
            <w:shd w:val="clear" w:color="auto" w:fill="BFBFBF" w:themeFill="background1" w:themeFillShade="BF"/>
          </w:tcPr>
          <w:p w:rsidR="00E05543" w:rsidRDefault="00E05543" w:rsidP="00897B13">
            <w:pPr>
              <w:rPr>
                <w:rFonts w:ascii="Arial" w:hAnsi="Arial" w:cs="Arial"/>
              </w:rPr>
            </w:pPr>
            <w:r>
              <w:rPr>
                <w:rFonts w:ascii="Arial" w:hAnsi="Arial" w:cs="Arial"/>
              </w:rPr>
              <w:t>Licence length (In years)</w:t>
            </w:r>
          </w:p>
        </w:tc>
        <w:tc>
          <w:tcPr>
            <w:tcW w:w="4955" w:type="dxa"/>
            <w:shd w:val="clear" w:color="auto" w:fill="BFBFBF" w:themeFill="background1" w:themeFillShade="BF"/>
          </w:tcPr>
          <w:p w:rsidR="00E05543" w:rsidRDefault="00E05543" w:rsidP="00897B13">
            <w:pPr>
              <w:rPr>
                <w:rFonts w:ascii="Arial" w:hAnsi="Arial" w:cs="Arial"/>
              </w:rPr>
            </w:pPr>
            <w:r>
              <w:rPr>
                <w:rFonts w:ascii="Arial" w:hAnsi="Arial" w:cs="Arial"/>
              </w:rPr>
              <w:t>Description</w:t>
            </w:r>
          </w:p>
        </w:tc>
      </w:tr>
      <w:tr w:rsidR="00E05543" w:rsidTr="00897B13">
        <w:tc>
          <w:tcPr>
            <w:tcW w:w="1367" w:type="dxa"/>
          </w:tcPr>
          <w:p w:rsidR="00E05543" w:rsidRDefault="00E05543" w:rsidP="00897B13">
            <w:pPr>
              <w:rPr>
                <w:rFonts w:ascii="Arial" w:hAnsi="Arial" w:cs="Arial"/>
              </w:rPr>
            </w:pPr>
            <w:r>
              <w:rPr>
                <w:rFonts w:ascii="Arial" w:hAnsi="Arial" w:cs="Arial"/>
              </w:rPr>
              <w:t>A</w:t>
            </w:r>
          </w:p>
        </w:tc>
        <w:tc>
          <w:tcPr>
            <w:tcW w:w="1238" w:type="dxa"/>
          </w:tcPr>
          <w:p w:rsidR="00E05543" w:rsidRDefault="00E05543" w:rsidP="00897B13">
            <w:pPr>
              <w:rPr>
                <w:rFonts w:ascii="Arial" w:hAnsi="Arial" w:cs="Arial"/>
              </w:rPr>
            </w:pPr>
            <w:r>
              <w:rPr>
                <w:rFonts w:ascii="Arial" w:hAnsi="Arial" w:cs="Arial"/>
              </w:rPr>
              <w:t>New</w:t>
            </w:r>
          </w:p>
        </w:tc>
        <w:tc>
          <w:tcPr>
            <w:tcW w:w="1238" w:type="dxa"/>
          </w:tcPr>
          <w:p w:rsidR="00E05543" w:rsidRDefault="00E05543" w:rsidP="00897B13">
            <w:pPr>
              <w:rPr>
                <w:rFonts w:ascii="Arial" w:hAnsi="Arial" w:cs="Arial"/>
              </w:rPr>
            </w:pPr>
            <w:r>
              <w:rPr>
                <w:rFonts w:ascii="Arial" w:hAnsi="Arial" w:cs="Arial"/>
              </w:rPr>
              <w:t xml:space="preserve">One </w:t>
            </w:r>
          </w:p>
        </w:tc>
        <w:tc>
          <w:tcPr>
            <w:tcW w:w="4955" w:type="dxa"/>
          </w:tcPr>
          <w:p w:rsidR="00E05543" w:rsidRDefault="00E05543" w:rsidP="00897B13">
            <w:pPr>
              <w:rPr>
                <w:rFonts w:ascii="Arial" w:hAnsi="Arial" w:cs="Arial"/>
              </w:rPr>
            </w:pPr>
            <w:r w:rsidRPr="001D146A">
              <w:rPr>
                <w:rFonts w:ascii="Arial" w:hAnsi="Arial" w:cs="Arial"/>
              </w:rPr>
              <w:t>Higher charge for a NEW application where the HMO has been operating for more than 12 weeks.</w:t>
            </w:r>
          </w:p>
        </w:tc>
      </w:tr>
      <w:tr w:rsidR="00E05543" w:rsidTr="00897B13">
        <w:tc>
          <w:tcPr>
            <w:tcW w:w="1367" w:type="dxa"/>
          </w:tcPr>
          <w:p w:rsidR="00E05543" w:rsidRDefault="00E05543" w:rsidP="00897B13">
            <w:pPr>
              <w:rPr>
                <w:rFonts w:ascii="Arial" w:hAnsi="Arial" w:cs="Arial"/>
              </w:rPr>
            </w:pPr>
            <w:r>
              <w:rPr>
                <w:rFonts w:ascii="Arial" w:hAnsi="Arial" w:cs="Arial"/>
              </w:rPr>
              <w:t>B</w:t>
            </w:r>
          </w:p>
        </w:tc>
        <w:tc>
          <w:tcPr>
            <w:tcW w:w="1238" w:type="dxa"/>
          </w:tcPr>
          <w:p w:rsidR="00E05543" w:rsidRDefault="00E05543" w:rsidP="00897B13">
            <w:pPr>
              <w:rPr>
                <w:rFonts w:ascii="Arial" w:hAnsi="Arial" w:cs="Arial"/>
              </w:rPr>
            </w:pPr>
            <w:r>
              <w:rPr>
                <w:rFonts w:ascii="Arial" w:hAnsi="Arial" w:cs="Arial"/>
              </w:rPr>
              <w:t>New</w:t>
            </w:r>
          </w:p>
        </w:tc>
        <w:tc>
          <w:tcPr>
            <w:tcW w:w="1238" w:type="dxa"/>
          </w:tcPr>
          <w:p w:rsidR="00E05543" w:rsidRDefault="00E05543" w:rsidP="00897B13">
            <w:pPr>
              <w:rPr>
                <w:rFonts w:ascii="Arial" w:hAnsi="Arial" w:cs="Arial"/>
              </w:rPr>
            </w:pPr>
            <w:r>
              <w:rPr>
                <w:rFonts w:ascii="Arial" w:hAnsi="Arial" w:cs="Arial"/>
              </w:rPr>
              <w:t>One</w:t>
            </w:r>
          </w:p>
        </w:tc>
        <w:tc>
          <w:tcPr>
            <w:tcW w:w="4955" w:type="dxa"/>
          </w:tcPr>
          <w:p w:rsidR="00E05543" w:rsidRDefault="00E05543" w:rsidP="00897B13">
            <w:pPr>
              <w:rPr>
                <w:rFonts w:ascii="Arial" w:hAnsi="Arial" w:cs="Arial"/>
              </w:rPr>
            </w:pPr>
            <w:r w:rsidRPr="001D146A">
              <w:rPr>
                <w:rFonts w:ascii="Arial" w:hAnsi="Arial" w:cs="Arial"/>
              </w:rPr>
              <w:t>Standard charge for a NEW application where the HMO has been operating for less than 12 weeks or a change of licence holder or where the landlord failed to renew.</w:t>
            </w:r>
          </w:p>
        </w:tc>
      </w:tr>
      <w:tr w:rsidR="00E05543" w:rsidTr="00897B13">
        <w:tc>
          <w:tcPr>
            <w:tcW w:w="1367" w:type="dxa"/>
          </w:tcPr>
          <w:p w:rsidR="00E05543" w:rsidRDefault="00E05543" w:rsidP="00897B13">
            <w:pPr>
              <w:rPr>
                <w:rFonts w:ascii="Arial" w:hAnsi="Arial" w:cs="Arial"/>
              </w:rPr>
            </w:pPr>
            <w:r>
              <w:rPr>
                <w:rFonts w:ascii="Arial" w:hAnsi="Arial" w:cs="Arial"/>
              </w:rPr>
              <w:t>C</w:t>
            </w:r>
          </w:p>
        </w:tc>
        <w:tc>
          <w:tcPr>
            <w:tcW w:w="1238" w:type="dxa"/>
          </w:tcPr>
          <w:p w:rsidR="00E05543" w:rsidRDefault="00E05543" w:rsidP="00897B13">
            <w:pPr>
              <w:rPr>
                <w:rFonts w:ascii="Arial" w:hAnsi="Arial" w:cs="Arial"/>
              </w:rPr>
            </w:pPr>
            <w:r>
              <w:rPr>
                <w:rFonts w:ascii="Arial" w:hAnsi="Arial" w:cs="Arial"/>
              </w:rPr>
              <w:t>Renewal</w:t>
            </w:r>
          </w:p>
        </w:tc>
        <w:tc>
          <w:tcPr>
            <w:tcW w:w="1238" w:type="dxa"/>
          </w:tcPr>
          <w:p w:rsidR="00E05543" w:rsidRDefault="00E05543" w:rsidP="00897B13">
            <w:pPr>
              <w:rPr>
                <w:rFonts w:ascii="Arial" w:hAnsi="Arial" w:cs="Arial"/>
              </w:rPr>
            </w:pPr>
            <w:r>
              <w:rPr>
                <w:rFonts w:ascii="Arial" w:hAnsi="Arial" w:cs="Arial"/>
              </w:rPr>
              <w:t>One</w:t>
            </w:r>
          </w:p>
        </w:tc>
        <w:tc>
          <w:tcPr>
            <w:tcW w:w="4955" w:type="dxa"/>
          </w:tcPr>
          <w:p w:rsidR="00E05543" w:rsidRDefault="00E05543" w:rsidP="00897B13">
            <w:pPr>
              <w:rPr>
                <w:rFonts w:ascii="Arial" w:hAnsi="Arial" w:cs="Arial"/>
              </w:rPr>
            </w:pPr>
            <w:r>
              <w:rPr>
                <w:rFonts w:ascii="Arial" w:hAnsi="Arial" w:cs="Arial"/>
              </w:rPr>
              <w:t xml:space="preserve">Standard charge for a renewal application. </w:t>
            </w:r>
          </w:p>
        </w:tc>
      </w:tr>
      <w:tr w:rsidR="00E05543" w:rsidTr="00897B13">
        <w:tc>
          <w:tcPr>
            <w:tcW w:w="1367" w:type="dxa"/>
          </w:tcPr>
          <w:p w:rsidR="00E05543" w:rsidRDefault="00E05543" w:rsidP="00897B13">
            <w:pPr>
              <w:rPr>
                <w:rFonts w:ascii="Arial" w:hAnsi="Arial" w:cs="Arial"/>
              </w:rPr>
            </w:pPr>
            <w:r>
              <w:rPr>
                <w:rFonts w:ascii="Arial" w:hAnsi="Arial" w:cs="Arial"/>
              </w:rPr>
              <w:t>D</w:t>
            </w:r>
          </w:p>
        </w:tc>
        <w:tc>
          <w:tcPr>
            <w:tcW w:w="1238" w:type="dxa"/>
          </w:tcPr>
          <w:p w:rsidR="00E05543" w:rsidRDefault="00E05543" w:rsidP="00897B13">
            <w:pPr>
              <w:rPr>
                <w:rFonts w:ascii="Arial" w:hAnsi="Arial" w:cs="Arial"/>
              </w:rPr>
            </w:pPr>
            <w:r>
              <w:rPr>
                <w:rFonts w:ascii="Arial" w:hAnsi="Arial" w:cs="Arial"/>
              </w:rPr>
              <w:t>Renewal</w:t>
            </w:r>
          </w:p>
        </w:tc>
        <w:tc>
          <w:tcPr>
            <w:tcW w:w="1238" w:type="dxa"/>
          </w:tcPr>
          <w:p w:rsidR="00E05543" w:rsidRDefault="00E05543" w:rsidP="00897B13">
            <w:pPr>
              <w:rPr>
                <w:rFonts w:ascii="Arial" w:hAnsi="Arial" w:cs="Arial"/>
              </w:rPr>
            </w:pPr>
            <w:r>
              <w:rPr>
                <w:rFonts w:ascii="Arial" w:hAnsi="Arial" w:cs="Arial"/>
              </w:rPr>
              <w:t>One</w:t>
            </w:r>
          </w:p>
        </w:tc>
        <w:tc>
          <w:tcPr>
            <w:tcW w:w="4955" w:type="dxa"/>
          </w:tcPr>
          <w:p w:rsidR="00E05543" w:rsidRDefault="00E05543" w:rsidP="00897B13">
            <w:pPr>
              <w:rPr>
                <w:rFonts w:ascii="Arial" w:hAnsi="Arial" w:cs="Arial"/>
              </w:rPr>
            </w:pPr>
            <w:r>
              <w:rPr>
                <w:rFonts w:ascii="Arial" w:hAnsi="Arial" w:cs="Arial"/>
              </w:rPr>
              <w:t>Higher charge for a renewal application where the property / licence holder is classed as non-compliant</w:t>
            </w:r>
          </w:p>
        </w:tc>
      </w:tr>
      <w:tr w:rsidR="00E05543" w:rsidTr="00897B13">
        <w:tc>
          <w:tcPr>
            <w:tcW w:w="1367" w:type="dxa"/>
          </w:tcPr>
          <w:p w:rsidR="00E05543" w:rsidRDefault="00E05543" w:rsidP="00897B13">
            <w:pPr>
              <w:rPr>
                <w:rFonts w:ascii="Arial" w:hAnsi="Arial" w:cs="Arial"/>
              </w:rPr>
            </w:pPr>
            <w:r>
              <w:rPr>
                <w:rFonts w:ascii="Arial" w:hAnsi="Arial" w:cs="Arial"/>
              </w:rPr>
              <w:t>E</w:t>
            </w:r>
          </w:p>
        </w:tc>
        <w:tc>
          <w:tcPr>
            <w:tcW w:w="1238" w:type="dxa"/>
          </w:tcPr>
          <w:p w:rsidR="00E05543" w:rsidRDefault="00E05543" w:rsidP="00897B13">
            <w:pPr>
              <w:rPr>
                <w:rFonts w:ascii="Arial" w:hAnsi="Arial" w:cs="Arial"/>
              </w:rPr>
            </w:pPr>
            <w:r>
              <w:rPr>
                <w:rFonts w:ascii="Arial" w:hAnsi="Arial" w:cs="Arial"/>
              </w:rPr>
              <w:t>Renewal</w:t>
            </w:r>
          </w:p>
        </w:tc>
        <w:tc>
          <w:tcPr>
            <w:tcW w:w="1238" w:type="dxa"/>
          </w:tcPr>
          <w:p w:rsidR="00E05543" w:rsidRDefault="00E05543" w:rsidP="00897B13">
            <w:pPr>
              <w:rPr>
                <w:rFonts w:ascii="Arial" w:hAnsi="Arial" w:cs="Arial"/>
              </w:rPr>
            </w:pPr>
            <w:r>
              <w:rPr>
                <w:rFonts w:ascii="Arial" w:hAnsi="Arial" w:cs="Arial"/>
              </w:rPr>
              <w:t>Two</w:t>
            </w:r>
          </w:p>
        </w:tc>
        <w:tc>
          <w:tcPr>
            <w:tcW w:w="4955" w:type="dxa"/>
          </w:tcPr>
          <w:p w:rsidR="00E05543" w:rsidRDefault="00E05543" w:rsidP="00897B13">
            <w:pPr>
              <w:rPr>
                <w:rFonts w:ascii="Arial" w:hAnsi="Arial" w:cs="Arial"/>
              </w:rPr>
            </w:pPr>
            <w:r>
              <w:rPr>
                <w:rFonts w:ascii="Arial" w:hAnsi="Arial" w:cs="Arial"/>
              </w:rPr>
              <w:t>Charge for a two year renewal application</w:t>
            </w:r>
          </w:p>
        </w:tc>
      </w:tr>
      <w:tr w:rsidR="00E05543" w:rsidTr="00897B13">
        <w:tc>
          <w:tcPr>
            <w:tcW w:w="1367" w:type="dxa"/>
          </w:tcPr>
          <w:p w:rsidR="00E05543" w:rsidRDefault="00E05543" w:rsidP="00897B13">
            <w:pPr>
              <w:rPr>
                <w:rFonts w:ascii="Arial" w:hAnsi="Arial" w:cs="Arial"/>
              </w:rPr>
            </w:pPr>
            <w:r>
              <w:rPr>
                <w:rFonts w:ascii="Arial" w:hAnsi="Arial" w:cs="Arial"/>
              </w:rPr>
              <w:t>F</w:t>
            </w:r>
          </w:p>
        </w:tc>
        <w:tc>
          <w:tcPr>
            <w:tcW w:w="1238" w:type="dxa"/>
          </w:tcPr>
          <w:p w:rsidR="00E05543" w:rsidRDefault="00E05543" w:rsidP="00897B13">
            <w:pPr>
              <w:rPr>
                <w:rFonts w:ascii="Arial" w:hAnsi="Arial" w:cs="Arial"/>
              </w:rPr>
            </w:pPr>
            <w:r>
              <w:rPr>
                <w:rFonts w:ascii="Arial" w:hAnsi="Arial" w:cs="Arial"/>
              </w:rPr>
              <w:t>Renewal</w:t>
            </w:r>
          </w:p>
        </w:tc>
        <w:tc>
          <w:tcPr>
            <w:tcW w:w="1238" w:type="dxa"/>
          </w:tcPr>
          <w:p w:rsidR="00E05543" w:rsidRDefault="00E05543" w:rsidP="00897B13">
            <w:pPr>
              <w:rPr>
                <w:rFonts w:ascii="Arial" w:hAnsi="Arial" w:cs="Arial"/>
              </w:rPr>
            </w:pPr>
            <w:r>
              <w:rPr>
                <w:rFonts w:ascii="Arial" w:hAnsi="Arial" w:cs="Arial"/>
              </w:rPr>
              <w:t>Five</w:t>
            </w:r>
          </w:p>
        </w:tc>
        <w:tc>
          <w:tcPr>
            <w:tcW w:w="4955" w:type="dxa"/>
          </w:tcPr>
          <w:p w:rsidR="00E05543" w:rsidRDefault="00E05543" w:rsidP="00897B13">
            <w:pPr>
              <w:rPr>
                <w:rFonts w:ascii="Arial" w:hAnsi="Arial" w:cs="Arial"/>
              </w:rPr>
            </w:pPr>
            <w:r>
              <w:rPr>
                <w:rFonts w:ascii="Arial" w:hAnsi="Arial" w:cs="Arial"/>
              </w:rPr>
              <w:t>Charge for a five year renewal application</w:t>
            </w:r>
          </w:p>
        </w:tc>
      </w:tr>
    </w:tbl>
    <w:p w:rsidR="00E05543" w:rsidRDefault="00E05543" w:rsidP="00E05543">
      <w:pPr>
        <w:rPr>
          <w:rFonts w:ascii="Arial" w:hAnsi="Arial" w:cs="Arial"/>
        </w:rPr>
      </w:pPr>
    </w:p>
    <w:p w:rsidR="00E05543" w:rsidRDefault="00E05543" w:rsidP="00E05543">
      <w:pPr>
        <w:rPr>
          <w:rFonts w:ascii="Arial" w:hAnsi="Arial" w:cs="Arial"/>
          <w:b/>
        </w:rPr>
      </w:pPr>
      <w:r>
        <w:rPr>
          <w:rFonts w:ascii="Arial" w:hAnsi="Arial" w:cs="Arial"/>
          <w:b/>
        </w:rPr>
        <w:t>2021 scheme fee proposal</w:t>
      </w:r>
    </w:p>
    <w:p w:rsidR="00E05543" w:rsidRDefault="00E05543" w:rsidP="00E05543">
      <w:pPr>
        <w:rPr>
          <w:rFonts w:ascii="Arial" w:hAnsi="Arial" w:cs="Arial"/>
        </w:rPr>
      </w:pPr>
      <w:r>
        <w:rPr>
          <w:rFonts w:ascii="Arial" w:hAnsi="Arial" w:cs="Arial"/>
        </w:rPr>
        <w:t xml:space="preserve">It is proposed </w:t>
      </w:r>
      <w:r w:rsidR="00D75BAB">
        <w:rPr>
          <w:rFonts w:ascii="Arial" w:hAnsi="Arial" w:cs="Arial"/>
        </w:rPr>
        <w:t>to maintain</w:t>
      </w:r>
      <w:r>
        <w:rPr>
          <w:rFonts w:ascii="Arial" w:hAnsi="Arial" w:cs="Arial"/>
        </w:rPr>
        <w:t xml:space="preserve"> the one, two, five year licence structure. </w:t>
      </w:r>
    </w:p>
    <w:p w:rsidR="00E05543" w:rsidRDefault="00E05543" w:rsidP="00E05543">
      <w:pPr>
        <w:pStyle w:val="ListParagraph"/>
        <w:numPr>
          <w:ilvl w:val="0"/>
          <w:numId w:val="6"/>
        </w:numPr>
        <w:rPr>
          <w:rFonts w:ascii="Arial" w:hAnsi="Arial" w:cs="Arial"/>
        </w:rPr>
      </w:pPr>
      <w:r>
        <w:rPr>
          <w:rFonts w:ascii="Arial" w:hAnsi="Arial" w:cs="Arial"/>
        </w:rPr>
        <w:t>T</w:t>
      </w:r>
      <w:r w:rsidRPr="00526C62">
        <w:rPr>
          <w:rFonts w:ascii="Arial" w:hAnsi="Arial" w:cs="Arial"/>
        </w:rPr>
        <w:t xml:space="preserve">he current </w:t>
      </w:r>
      <w:r>
        <w:rPr>
          <w:rFonts w:ascii="Arial" w:hAnsi="Arial" w:cs="Arial"/>
        </w:rPr>
        <w:t>category A is renamed A1 – to reflect the enforcement costs generally associated with finding unlicensed HMOs and ensuring they are licen</w:t>
      </w:r>
      <w:r w:rsidR="007701F8">
        <w:rPr>
          <w:rFonts w:ascii="Arial" w:hAnsi="Arial" w:cs="Arial"/>
        </w:rPr>
        <w:t xml:space="preserve">sed this category will have an </w:t>
      </w:r>
      <w:r>
        <w:rPr>
          <w:rFonts w:ascii="Arial" w:hAnsi="Arial" w:cs="Arial"/>
        </w:rPr>
        <w:t xml:space="preserve">increase stage 1 part fee. </w:t>
      </w:r>
    </w:p>
    <w:p w:rsidR="00E05543" w:rsidRPr="00E05543" w:rsidRDefault="00E05543" w:rsidP="00E05543">
      <w:pPr>
        <w:pStyle w:val="ListParagraph"/>
        <w:numPr>
          <w:ilvl w:val="0"/>
          <w:numId w:val="6"/>
        </w:numPr>
        <w:spacing w:line="276" w:lineRule="auto"/>
        <w:rPr>
          <w:rFonts w:ascii="Arial" w:hAnsi="Arial" w:cs="Arial"/>
        </w:rPr>
      </w:pPr>
      <w:r w:rsidRPr="00E05543">
        <w:rPr>
          <w:rFonts w:ascii="Arial" w:hAnsi="Arial" w:cs="Arial"/>
        </w:rPr>
        <w:t xml:space="preserve">A new fee category of A2 is introduced for those landlords that fail to renew their HMO licence promptly. This is to recover the additional time spent. </w:t>
      </w:r>
    </w:p>
    <w:p w:rsidR="00E05543" w:rsidRDefault="00E05543" w:rsidP="00E05543">
      <w:pPr>
        <w:pStyle w:val="ListParagraph"/>
        <w:numPr>
          <w:ilvl w:val="0"/>
          <w:numId w:val="6"/>
        </w:numPr>
        <w:rPr>
          <w:rFonts w:ascii="Arial" w:hAnsi="Arial" w:cs="Arial"/>
        </w:rPr>
      </w:pPr>
      <w:r>
        <w:rPr>
          <w:rFonts w:ascii="Arial" w:hAnsi="Arial" w:cs="Arial"/>
        </w:rPr>
        <w:t xml:space="preserve">The stage one payment for renewals (Categories C, D, E and F) will pay a lower amount to reflect the proportion of work associated with this stage in the process </w:t>
      </w:r>
    </w:p>
    <w:p w:rsidR="003A5EC4" w:rsidRPr="003A5EC4" w:rsidRDefault="00E05543" w:rsidP="003A5EC4">
      <w:pPr>
        <w:pStyle w:val="ListParagraph"/>
        <w:numPr>
          <w:ilvl w:val="0"/>
          <w:numId w:val="6"/>
        </w:numPr>
        <w:rPr>
          <w:rFonts w:ascii="Arial" w:hAnsi="Arial" w:cs="Arial"/>
        </w:rPr>
      </w:pPr>
      <w:r w:rsidRPr="003A5EC4">
        <w:rPr>
          <w:rFonts w:ascii="Arial" w:hAnsi="Arial" w:cs="Arial"/>
        </w:rPr>
        <w:t xml:space="preserve">An increase in all categories to reflect ongoing scheme costs and increased costs associated with general licensing activity and training. </w:t>
      </w:r>
      <w:r w:rsidR="003A5EC4" w:rsidRPr="003A5EC4">
        <w:rPr>
          <w:rFonts w:ascii="Arial" w:hAnsi="Arial" w:cs="Arial"/>
        </w:rPr>
        <w:t xml:space="preserve">This is due to an increase in such tasks as variations, to licences as landlords seek to maximise occupancy within the C4 use category. Time spent on “withdrawn” applications is significant as is </w:t>
      </w:r>
      <w:r w:rsidR="003A5EC4">
        <w:rPr>
          <w:rFonts w:ascii="Arial" w:hAnsi="Arial" w:cs="Arial"/>
        </w:rPr>
        <w:t>t</w:t>
      </w:r>
      <w:r w:rsidR="003A5EC4" w:rsidRPr="003A5EC4">
        <w:rPr>
          <w:rFonts w:ascii="Arial" w:hAnsi="Arial" w:cs="Arial"/>
        </w:rPr>
        <w:t xml:space="preserve">he </w:t>
      </w:r>
      <w:r w:rsidR="003A5EC4">
        <w:rPr>
          <w:rFonts w:ascii="Arial" w:hAnsi="Arial" w:cs="Arial"/>
        </w:rPr>
        <w:t xml:space="preserve">increased </w:t>
      </w:r>
      <w:r w:rsidR="003A5EC4" w:rsidRPr="003A5EC4">
        <w:rPr>
          <w:rFonts w:ascii="Arial" w:hAnsi="Arial" w:cs="Arial"/>
        </w:rPr>
        <w:t xml:space="preserve">volume of change of use applications submitted to planning </w:t>
      </w:r>
      <w:r w:rsidR="003A5EC4">
        <w:rPr>
          <w:rFonts w:ascii="Arial" w:hAnsi="Arial" w:cs="Arial"/>
        </w:rPr>
        <w:t xml:space="preserve">which are </w:t>
      </w:r>
      <w:r w:rsidR="003A5EC4" w:rsidRPr="003A5EC4">
        <w:rPr>
          <w:rFonts w:ascii="Arial" w:hAnsi="Arial" w:cs="Arial"/>
        </w:rPr>
        <w:t>comment</w:t>
      </w:r>
      <w:r w:rsidR="003A5EC4">
        <w:rPr>
          <w:rFonts w:ascii="Arial" w:hAnsi="Arial" w:cs="Arial"/>
        </w:rPr>
        <w:t>ed on by the HMO enforcement team</w:t>
      </w:r>
    </w:p>
    <w:p w:rsidR="00E05543" w:rsidRDefault="00E05543" w:rsidP="00E05543">
      <w:pPr>
        <w:pStyle w:val="ListParagraph"/>
        <w:numPr>
          <w:ilvl w:val="0"/>
          <w:numId w:val="6"/>
        </w:numPr>
        <w:rPr>
          <w:rFonts w:ascii="Arial" w:hAnsi="Arial" w:cs="Arial"/>
        </w:rPr>
      </w:pPr>
      <w:r>
        <w:rPr>
          <w:rFonts w:ascii="Arial" w:hAnsi="Arial" w:cs="Arial"/>
        </w:rPr>
        <w:t xml:space="preserve">An increase for Category C, E and F to reflect the need </w:t>
      </w:r>
      <w:r w:rsidR="003A5EC4">
        <w:rPr>
          <w:rFonts w:ascii="Arial" w:hAnsi="Arial" w:cs="Arial"/>
        </w:rPr>
        <w:t xml:space="preserve">to </w:t>
      </w:r>
      <w:r>
        <w:rPr>
          <w:rFonts w:ascii="Arial" w:hAnsi="Arial" w:cs="Arial"/>
        </w:rPr>
        <w:t>re-inspect</w:t>
      </w:r>
      <w:r w:rsidR="003A5EC4">
        <w:rPr>
          <w:rFonts w:ascii="Arial" w:hAnsi="Arial" w:cs="Arial"/>
        </w:rPr>
        <w:t xml:space="preserve"> </w:t>
      </w:r>
      <w:r>
        <w:rPr>
          <w:rFonts w:ascii="Arial" w:hAnsi="Arial" w:cs="Arial"/>
        </w:rPr>
        <w:t>HMOs over the next five years.</w:t>
      </w:r>
    </w:p>
    <w:p w:rsidR="00E05543" w:rsidRPr="00526C62" w:rsidRDefault="00E05543" w:rsidP="00E05543">
      <w:pPr>
        <w:pStyle w:val="ListParagraph"/>
        <w:numPr>
          <w:ilvl w:val="0"/>
          <w:numId w:val="6"/>
        </w:numPr>
        <w:rPr>
          <w:rFonts w:ascii="Arial" w:hAnsi="Arial" w:cs="Arial"/>
        </w:rPr>
      </w:pPr>
      <w:r>
        <w:rPr>
          <w:rFonts w:ascii="Arial" w:hAnsi="Arial" w:cs="Arial"/>
        </w:rPr>
        <w:t>An incr</w:t>
      </w:r>
      <w:r w:rsidR="003A5EC4">
        <w:rPr>
          <w:rFonts w:ascii="Arial" w:hAnsi="Arial" w:cs="Arial"/>
        </w:rPr>
        <w:t xml:space="preserve">ease for Category D to reflect </w:t>
      </w:r>
      <w:r>
        <w:rPr>
          <w:rFonts w:ascii="Arial" w:hAnsi="Arial" w:cs="Arial"/>
        </w:rPr>
        <w:t>that properties in this category are classed as “non-compliant” and therefore take up additional resources.</w:t>
      </w:r>
    </w:p>
    <w:p w:rsidR="00216C8F" w:rsidRDefault="00216C8F">
      <w:pPr>
        <w:rPr>
          <w:rFonts w:ascii="Arial" w:hAnsi="Arial" w:cs="Arial"/>
        </w:rPr>
        <w:sectPr w:rsidR="00216C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216C8F" w:rsidRDefault="00216C8F">
      <w:pPr>
        <w:rPr>
          <w:rFonts w:ascii="Arial" w:hAnsi="Arial" w:cs="Arial"/>
        </w:rPr>
      </w:pPr>
    </w:p>
    <w:tbl>
      <w:tblPr>
        <w:tblStyle w:val="TableGrid"/>
        <w:tblW w:w="9208" w:type="dxa"/>
        <w:tblInd w:w="108" w:type="dxa"/>
        <w:tblLayout w:type="fixed"/>
        <w:tblLook w:val="04A0" w:firstRow="1" w:lastRow="0" w:firstColumn="1" w:lastColumn="0" w:noHBand="0" w:noVBand="1"/>
      </w:tblPr>
      <w:tblGrid>
        <w:gridCol w:w="1305"/>
        <w:gridCol w:w="1276"/>
        <w:gridCol w:w="1275"/>
        <w:gridCol w:w="2268"/>
        <w:gridCol w:w="1560"/>
        <w:gridCol w:w="1524"/>
      </w:tblGrid>
      <w:tr w:rsidR="00216C8F" w:rsidRPr="00D75BAB" w:rsidTr="00216C8F">
        <w:trPr>
          <w:trHeight w:val="290"/>
        </w:trPr>
        <w:tc>
          <w:tcPr>
            <w:tcW w:w="1305" w:type="dxa"/>
            <w:shd w:val="clear" w:color="auto" w:fill="BFBFBF" w:themeFill="background1" w:themeFillShade="BF"/>
            <w:noWrap/>
            <w:hideMark/>
          </w:tcPr>
          <w:p w:rsidR="00216C8F" w:rsidRPr="00D75BAB" w:rsidRDefault="00216C8F" w:rsidP="00216C8F">
            <w:pPr>
              <w:rPr>
                <w:rFonts w:ascii="Arial" w:eastAsia="Times New Roman" w:hAnsi="Arial" w:cs="Arial"/>
                <w:b/>
                <w:bCs/>
                <w:lang w:eastAsia="en-GB"/>
              </w:rPr>
            </w:pPr>
            <w:r>
              <w:rPr>
                <w:rFonts w:ascii="Arial" w:eastAsia="Times New Roman" w:hAnsi="Arial" w:cs="Arial"/>
                <w:b/>
                <w:bCs/>
                <w:lang w:eastAsia="en-GB"/>
              </w:rPr>
              <w:t xml:space="preserve">Category </w:t>
            </w:r>
          </w:p>
        </w:tc>
        <w:tc>
          <w:tcPr>
            <w:tcW w:w="1276" w:type="dxa"/>
            <w:shd w:val="clear" w:color="auto" w:fill="BFBFBF" w:themeFill="background1" w:themeFillShade="BF"/>
          </w:tcPr>
          <w:p w:rsidR="00216C8F" w:rsidRPr="00D75BAB" w:rsidRDefault="00216C8F" w:rsidP="00216C8F">
            <w:pPr>
              <w:rPr>
                <w:rFonts w:ascii="Arial" w:eastAsia="Times New Roman" w:hAnsi="Arial" w:cs="Arial"/>
                <w:b/>
                <w:bCs/>
                <w:lang w:eastAsia="en-GB"/>
              </w:rPr>
            </w:pPr>
            <w:r>
              <w:rPr>
                <w:rFonts w:ascii="Arial" w:eastAsia="Times New Roman" w:hAnsi="Arial" w:cs="Arial"/>
                <w:b/>
                <w:bCs/>
                <w:lang w:eastAsia="en-GB"/>
              </w:rPr>
              <w:t>Type</w:t>
            </w:r>
          </w:p>
        </w:tc>
        <w:tc>
          <w:tcPr>
            <w:tcW w:w="1275" w:type="dxa"/>
            <w:shd w:val="clear" w:color="auto" w:fill="BFBFBF" w:themeFill="background1" w:themeFillShade="BF"/>
            <w:noWrap/>
            <w:hideMark/>
          </w:tcPr>
          <w:p w:rsidR="00216C8F" w:rsidRPr="00D75BAB" w:rsidRDefault="00216C8F" w:rsidP="00216C8F">
            <w:pPr>
              <w:rPr>
                <w:rFonts w:ascii="Arial" w:eastAsia="Times New Roman" w:hAnsi="Arial" w:cs="Arial"/>
                <w:b/>
                <w:bCs/>
                <w:lang w:eastAsia="en-GB"/>
              </w:rPr>
            </w:pPr>
            <w:r>
              <w:rPr>
                <w:rFonts w:ascii="Arial" w:eastAsia="Times New Roman" w:hAnsi="Arial" w:cs="Arial"/>
                <w:b/>
                <w:bCs/>
                <w:lang w:eastAsia="en-GB"/>
              </w:rPr>
              <w:t>Licence length (years)</w:t>
            </w:r>
          </w:p>
        </w:tc>
        <w:tc>
          <w:tcPr>
            <w:tcW w:w="2268" w:type="dxa"/>
            <w:shd w:val="clear" w:color="auto" w:fill="BFBFBF" w:themeFill="background1" w:themeFillShade="BF"/>
            <w:noWrap/>
            <w:hideMark/>
          </w:tcPr>
          <w:p w:rsidR="00216C8F" w:rsidRPr="00D75BAB" w:rsidRDefault="00216C8F" w:rsidP="00216C8F">
            <w:pPr>
              <w:rPr>
                <w:rFonts w:ascii="Arial" w:eastAsia="Times New Roman" w:hAnsi="Arial" w:cs="Arial"/>
                <w:b/>
                <w:bCs/>
                <w:lang w:eastAsia="en-GB"/>
              </w:rPr>
            </w:pPr>
            <w:r>
              <w:rPr>
                <w:rFonts w:ascii="Arial" w:eastAsia="Times New Roman" w:hAnsi="Arial" w:cs="Arial"/>
                <w:b/>
                <w:bCs/>
                <w:lang w:eastAsia="en-GB"/>
              </w:rPr>
              <w:t xml:space="preserve">Description </w:t>
            </w:r>
          </w:p>
        </w:tc>
        <w:tc>
          <w:tcPr>
            <w:tcW w:w="1560" w:type="dxa"/>
            <w:shd w:val="clear" w:color="auto" w:fill="BFBFBF" w:themeFill="background1" w:themeFillShade="BF"/>
          </w:tcPr>
          <w:p w:rsidR="00216C8F" w:rsidRDefault="00216C8F" w:rsidP="00216C8F">
            <w:pPr>
              <w:rPr>
                <w:rFonts w:ascii="Arial" w:eastAsia="Times New Roman" w:hAnsi="Arial" w:cs="Arial"/>
                <w:b/>
                <w:bCs/>
                <w:lang w:eastAsia="en-GB"/>
              </w:rPr>
            </w:pPr>
            <w:r>
              <w:rPr>
                <w:rFonts w:ascii="Arial" w:eastAsia="Times New Roman" w:hAnsi="Arial" w:cs="Arial"/>
                <w:b/>
                <w:bCs/>
                <w:lang w:eastAsia="en-GB"/>
              </w:rPr>
              <w:t>Proposed Total Fee</w:t>
            </w:r>
          </w:p>
        </w:tc>
        <w:tc>
          <w:tcPr>
            <w:tcW w:w="1524" w:type="dxa"/>
            <w:shd w:val="clear" w:color="auto" w:fill="BFBFBF" w:themeFill="background1" w:themeFillShade="BF"/>
          </w:tcPr>
          <w:p w:rsidR="00216C8F" w:rsidRPr="00BE3FB3" w:rsidRDefault="00216C8F" w:rsidP="00216C8F">
            <w:pPr>
              <w:rPr>
                <w:rFonts w:ascii="Arial" w:hAnsi="Arial" w:cs="Arial"/>
                <w:b/>
                <w:bCs/>
              </w:rPr>
            </w:pPr>
            <w:r>
              <w:rPr>
                <w:rFonts w:ascii="Arial" w:hAnsi="Arial" w:cs="Arial"/>
                <w:b/>
                <w:bCs/>
              </w:rPr>
              <w:t>I</w:t>
            </w:r>
            <w:r w:rsidRPr="00BE3FB3">
              <w:rPr>
                <w:rFonts w:ascii="Arial" w:hAnsi="Arial" w:cs="Arial"/>
                <w:b/>
                <w:bCs/>
              </w:rPr>
              <w:t xml:space="preserve">ncrease from </w:t>
            </w:r>
            <w:r w:rsidRPr="00216C8F">
              <w:rPr>
                <w:rFonts w:ascii="Arial" w:eastAsia="Times New Roman" w:hAnsi="Arial" w:cs="Arial"/>
                <w:b/>
                <w:bCs/>
                <w:lang w:eastAsia="en-GB"/>
              </w:rPr>
              <w:t>20</w:t>
            </w:r>
            <w:r w:rsidRPr="00BE3FB3">
              <w:rPr>
                <w:rFonts w:ascii="Arial" w:hAnsi="Arial" w:cs="Arial"/>
                <w:b/>
                <w:bCs/>
              </w:rPr>
              <w:t>/21</w:t>
            </w:r>
          </w:p>
        </w:tc>
      </w:tr>
      <w:tr w:rsidR="00216C8F" w:rsidRPr="00D75BAB" w:rsidTr="00216C8F">
        <w:trPr>
          <w:trHeight w:val="497"/>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A1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New</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One</w:t>
            </w:r>
          </w:p>
        </w:tc>
        <w:tc>
          <w:tcPr>
            <w:tcW w:w="2268"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failed to make new application in 12 weeks</w:t>
            </w:r>
          </w:p>
        </w:tc>
        <w:tc>
          <w:tcPr>
            <w:tcW w:w="1560" w:type="dxa"/>
          </w:tcPr>
          <w:p w:rsidR="00216C8F" w:rsidRPr="00216C8F" w:rsidRDefault="00216C8F" w:rsidP="00216C8F">
            <w:pPr>
              <w:rPr>
                <w:rFonts w:ascii="Arial" w:eastAsia="Times New Roman" w:hAnsi="Arial" w:cs="Arial"/>
                <w:b/>
                <w:lang w:eastAsia="en-GB"/>
              </w:rPr>
            </w:pPr>
            <w:r w:rsidRPr="00216C8F">
              <w:rPr>
                <w:rFonts w:ascii="Arial" w:eastAsia="Times New Roman" w:hAnsi="Arial" w:cs="Arial"/>
                <w:b/>
                <w:lang w:eastAsia="en-GB"/>
              </w:rPr>
              <w:t>£2200</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202</w:t>
            </w:r>
          </w:p>
          <w:p w:rsidR="00216C8F" w:rsidRPr="00BE3FB3" w:rsidRDefault="00216C8F" w:rsidP="00216C8F">
            <w:pPr>
              <w:rPr>
                <w:rFonts w:ascii="Arial" w:hAnsi="Arial" w:cs="Arial"/>
              </w:rPr>
            </w:pPr>
          </w:p>
        </w:tc>
      </w:tr>
      <w:tr w:rsidR="00216C8F" w:rsidRPr="00D75BAB" w:rsidTr="00216C8F">
        <w:trPr>
          <w:trHeight w:val="87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A2 –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New</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One</w:t>
            </w:r>
          </w:p>
        </w:tc>
        <w:tc>
          <w:tcPr>
            <w:tcW w:w="2268"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failed to make new application within 6 weeks of expiry</w:t>
            </w:r>
          </w:p>
        </w:tc>
        <w:tc>
          <w:tcPr>
            <w:tcW w:w="1560" w:type="dxa"/>
          </w:tcPr>
          <w:p w:rsidR="00216C8F" w:rsidRPr="00216C8F" w:rsidRDefault="00216C8F" w:rsidP="00216C8F">
            <w:pPr>
              <w:rPr>
                <w:rFonts w:ascii="Arial" w:hAnsi="Arial" w:cs="Arial"/>
                <w:b/>
              </w:rPr>
            </w:pPr>
            <w:r w:rsidRPr="00216C8F">
              <w:rPr>
                <w:rFonts w:ascii="Arial" w:hAnsi="Arial" w:cs="Arial"/>
                <w:b/>
              </w:rPr>
              <w:t>£750</w:t>
            </w:r>
          </w:p>
        </w:tc>
        <w:tc>
          <w:tcPr>
            <w:tcW w:w="1524" w:type="dxa"/>
          </w:tcPr>
          <w:p w:rsidR="00216C8F" w:rsidRPr="00BE3FB3" w:rsidRDefault="00216C8F" w:rsidP="00216C8F">
            <w:pPr>
              <w:rPr>
                <w:rFonts w:ascii="Arial" w:hAnsi="Arial" w:cs="Arial"/>
              </w:rPr>
            </w:pPr>
            <w:r w:rsidRPr="00BE3FB3">
              <w:rPr>
                <w:rFonts w:ascii="Arial" w:hAnsi="Arial" w:cs="Arial"/>
              </w:rPr>
              <w:t>N/A</w:t>
            </w:r>
          </w:p>
        </w:tc>
      </w:tr>
      <w:tr w:rsidR="00216C8F" w:rsidRPr="00D75BAB" w:rsidTr="00216C8F">
        <w:trPr>
          <w:trHeight w:val="58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B –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New</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One</w:t>
            </w:r>
          </w:p>
        </w:tc>
        <w:tc>
          <w:tcPr>
            <w:tcW w:w="2268"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standard new application</w:t>
            </w:r>
          </w:p>
        </w:tc>
        <w:tc>
          <w:tcPr>
            <w:tcW w:w="1560" w:type="dxa"/>
          </w:tcPr>
          <w:p w:rsidR="00216C8F" w:rsidRPr="00216C8F" w:rsidRDefault="00216C8F" w:rsidP="00216C8F">
            <w:pPr>
              <w:rPr>
                <w:rFonts w:ascii="Arial" w:hAnsi="Arial" w:cs="Arial"/>
                <w:b/>
              </w:rPr>
            </w:pPr>
            <w:r w:rsidRPr="00216C8F">
              <w:rPr>
                <w:rFonts w:ascii="Arial" w:hAnsi="Arial" w:cs="Arial"/>
                <w:b/>
              </w:rPr>
              <w:t>£625</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85</w:t>
            </w:r>
          </w:p>
        </w:tc>
      </w:tr>
      <w:tr w:rsidR="00216C8F" w:rsidRPr="00D75BAB" w:rsidTr="00216C8F">
        <w:trPr>
          <w:trHeight w:val="29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C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 xml:space="preserve">Renewal </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One</w:t>
            </w:r>
          </w:p>
        </w:tc>
        <w:tc>
          <w:tcPr>
            <w:tcW w:w="2268" w:type="dxa"/>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standard renewal application </w:t>
            </w:r>
          </w:p>
        </w:tc>
        <w:tc>
          <w:tcPr>
            <w:tcW w:w="1560" w:type="dxa"/>
          </w:tcPr>
          <w:p w:rsidR="00216C8F" w:rsidRPr="00216C8F" w:rsidRDefault="00216C8F" w:rsidP="00216C8F">
            <w:pPr>
              <w:rPr>
                <w:rFonts w:ascii="Arial" w:hAnsi="Arial" w:cs="Arial"/>
                <w:b/>
              </w:rPr>
            </w:pPr>
            <w:r w:rsidRPr="00216C8F">
              <w:rPr>
                <w:rFonts w:ascii="Arial" w:hAnsi="Arial" w:cs="Arial"/>
                <w:b/>
              </w:rPr>
              <w:t>£333</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75</w:t>
            </w:r>
          </w:p>
        </w:tc>
      </w:tr>
      <w:tr w:rsidR="00216C8F" w:rsidRPr="00D75BAB" w:rsidTr="00216C8F">
        <w:trPr>
          <w:trHeight w:val="5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D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 xml:space="preserve">Renewal </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One</w:t>
            </w:r>
          </w:p>
        </w:tc>
        <w:tc>
          <w:tcPr>
            <w:tcW w:w="2268"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non – compliant renewal</w:t>
            </w:r>
          </w:p>
        </w:tc>
        <w:tc>
          <w:tcPr>
            <w:tcW w:w="1560" w:type="dxa"/>
          </w:tcPr>
          <w:p w:rsidR="00216C8F" w:rsidRPr="00216C8F" w:rsidRDefault="00216C8F" w:rsidP="00216C8F">
            <w:pPr>
              <w:rPr>
                <w:rFonts w:ascii="Arial" w:hAnsi="Arial" w:cs="Arial"/>
                <w:b/>
              </w:rPr>
            </w:pPr>
            <w:r w:rsidRPr="00216C8F">
              <w:rPr>
                <w:rFonts w:ascii="Arial" w:hAnsi="Arial" w:cs="Arial"/>
                <w:b/>
              </w:rPr>
              <w:t>£541</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50</w:t>
            </w:r>
          </w:p>
        </w:tc>
      </w:tr>
      <w:tr w:rsidR="00216C8F" w:rsidRPr="00D75BAB" w:rsidTr="00216C8F">
        <w:trPr>
          <w:trHeight w:val="29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E -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 xml:space="preserve">Renewal </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Two</w:t>
            </w:r>
          </w:p>
        </w:tc>
        <w:tc>
          <w:tcPr>
            <w:tcW w:w="2268"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two year </w:t>
            </w:r>
            <w:r>
              <w:rPr>
                <w:rFonts w:ascii="Arial" w:eastAsia="Times New Roman" w:hAnsi="Arial" w:cs="Arial"/>
                <w:lang w:eastAsia="en-GB"/>
              </w:rPr>
              <w:t xml:space="preserve">renewal </w:t>
            </w:r>
          </w:p>
        </w:tc>
        <w:tc>
          <w:tcPr>
            <w:tcW w:w="1560" w:type="dxa"/>
          </w:tcPr>
          <w:p w:rsidR="00216C8F" w:rsidRPr="00216C8F" w:rsidRDefault="00216C8F" w:rsidP="00216C8F">
            <w:pPr>
              <w:rPr>
                <w:rFonts w:ascii="Arial" w:hAnsi="Arial" w:cs="Arial"/>
                <w:b/>
              </w:rPr>
            </w:pPr>
            <w:r w:rsidRPr="00216C8F">
              <w:rPr>
                <w:rFonts w:ascii="Arial" w:hAnsi="Arial" w:cs="Arial"/>
                <w:b/>
              </w:rPr>
              <w:t>£371</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87</w:t>
            </w:r>
          </w:p>
        </w:tc>
      </w:tr>
      <w:tr w:rsidR="00216C8F" w:rsidRPr="00D75BAB" w:rsidTr="00216C8F">
        <w:trPr>
          <w:trHeight w:val="290"/>
        </w:trPr>
        <w:tc>
          <w:tcPr>
            <w:tcW w:w="130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 xml:space="preserve">F </w:t>
            </w:r>
          </w:p>
        </w:tc>
        <w:tc>
          <w:tcPr>
            <w:tcW w:w="1276" w:type="dxa"/>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 xml:space="preserve">Renewal </w:t>
            </w:r>
          </w:p>
        </w:tc>
        <w:tc>
          <w:tcPr>
            <w:tcW w:w="1275" w:type="dxa"/>
            <w:noWrap/>
            <w:hideMark/>
          </w:tcPr>
          <w:p w:rsidR="00216C8F" w:rsidRPr="00D75BAB" w:rsidRDefault="00216C8F" w:rsidP="00216C8F">
            <w:pPr>
              <w:rPr>
                <w:rFonts w:ascii="Arial" w:eastAsia="Times New Roman" w:hAnsi="Arial" w:cs="Arial"/>
                <w:lang w:eastAsia="en-GB"/>
              </w:rPr>
            </w:pPr>
            <w:r w:rsidRPr="00D75BAB">
              <w:rPr>
                <w:rFonts w:ascii="Arial" w:eastAsia="Times New Roman" w:hAnsi="Arial" w:cs="Arial"/>
                <w:lang w:eastAsia="en-GB"/>
              </w:rPr>
              <w:t>Five</w:t>
            </w:r>
          </w:p>
        </w:tc>
        <w:tc>
          <w:tcPr>
            <w:tcW w:w="2268" w:type="dxa"/>
            <w:noWrap/>
            <w:hideMark/>
          </w:tcPr>
          <w:p w:rsidR="00216C8F" w:rsidRPr="00D75BAB" w:rsidRDefault="00216C8F" w:rsidP="00216C8F">
            <w:pPr>
              <w:rPr>
                <w:rFonts w:ascii="Arial" w:eastAsia="Times New Roman" w:hAnsi="Arial" w:cs="Arial"/>
                <w:lang w:eastAsia="en-GB"/>
              </w:rPr>
            </w:pPr>
            <w:r>
              <w:rPr>
                <w:rFonts w:ascii="Arial" w:eastAsia="Times New Roman" w:hAnsi="Arial" w:cs="Arial"/>
                <w:lang w:eastAsia="en-GB"/>
              </w:rPr>
              <w:t xml:space="preserve">Five year renewal </w:t>
            </w:r>
          </w:p>
        </w:tc>
        <w:tc>
          <w:tcPr>
            <w:tcW w:w="1560" w:type="dxa"/>
          </w:tcPr>
          <w:p w:rsidR="00216C8F" w:rsidRPr="00216C8F" w:rsidRDefault="00216C8F" w:rsidP="00216C8F">
            <w:pPr>
              <w:rPr>
                <w:rFonts w:ascii="Arial" w:hAnsi="Arial" w:cs="Arial"/>
                <w:b/>
              </w:rPr>
            </w:pPr>
            <w:r w:rsidRPr="00216C8F">
              <w:rPr>
                <w:rFonts w:ascii="Arial" w:hAnsi="Arial" w:cs="Arial"/>
                <w:b/>
              </w:rPr>
              <w:t>£413</w:t>
            </w:r>
          </w:p>
        </w:tc>
        <w:tc>
          <w:tcPr>
            <w:tcW w:w="1524" w:type="dxa"/>
          </w:tcPr>
          <w:p w:rsidR="00216C8F" w:rsidRPr="00BE3FB3" w:rsidRDefault="00216C8F" w:rsidP="00216C8F">
            <w:pPr>
              <w:rPr>
                <w:rFonts w:ascii="Arial" w:hAnsi="Arial" w:cs="Arial"/>
              </w:rPr>
            </w:pPr>
            <w:r>
              <w:rPr>
                <w:rFonts w:ascii="Arial" w:hAnsi="Arial" w:cs="Arial"/>
              </w:rPr>
              <w:t>£</w:t>
            </w:r>
            <w:r w:rsidRPr="00BE3FB3">
              <w:rPr>
                <w:rFonts w:ascii="Arial" w:hAnsi="Arial" w:cs="Arial"/>
              </w:rPr>
              <w:t>6</w:t>
            </w:r>
          </w:p>
        </w:tc>
      </w:tr>
    </w:tbl>
    <w:p w:rsidR="00E05543" w:rsidRDefault="00E05543" w:rsidP="00E05543">
      <w:pPr>
        <w:rPr>
          <w:rFonts w:ascii="Arial" w:hAnsi="Arial" w:cs="Arial"/>
        </w:rPr>
      </w:pPr>
    </w:p>
    <w:p w:rsidR="00216C8F" w:rsidRDefault="00216C8F" w:rsidP="00E05543">
      <w:pPr>
        <w:rPr>
          <w:rFonts w:ascii="Arial" w:hAnsi="Arial" w:cs="Arial"/>
        </w:rPr>
      </w:pPr>
    </w:p>
    <w:p w:rsidR="00216C8F" w:rsidRDefault="00216C8F" w:rsidP="00E05543">
      <w:pPr>
        <w:rPr>
          <w:rFonts w:ascii="Arial" w:hAnsi="Arial" w:cs="Arial"/>
        </w:rPr>
      </w:pPr>
    </w:p>
    <w:sectPr w:rsidR="00216C8F" w:rsidSect="00216C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5B" w:rsidRDefault="00E7385B" w:rsidP="00E7385B">
      <w:pPr>
        <w:spacing w:after="0" w:line="240" w:lineRule="auto"/>
      </w:pPr>
      <w:r>
        <w:separator/>
      </w:r>
    </w:p>
  </w:endnote>
  <w:endnote w:type="continuationSeparator" w:id="0">
    <w:p w:rsidR="00E7385B" w:rsidRDefault="00E7385B" w:rsidP="00E7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Default="00E7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Default="00E73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Default="00E7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5B" w:rsidRDefault="00E7385B" w:rsidP="00E7385B">
      <w:pPr>
        <w:spacing w:after="0" w:line="240" w:lineRule="auto"/>
      </w:pPr>
      <w:r>
        <w:separator/>
      </w:r>
    </w:p>
  </w:footnote>
  <w:footnote w:type="continuationSeparator" w:id="0">
    <w:p w:rsidR="00E7385B" w:rsidRDefault="00E7385B" w:rsidP="00E7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Default="00E7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Pr="00E7385B" w:rsidRDefault="00E7385B">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E7385B">
      <w:rPr>
        <w:rFonts w:ascii="Arial" w:hAnsi="Arial" w:cs="Arial"/>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5B" w:rsidRDefault="00E73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462A"/>
    <w:multiLevelType w:val="hybridMultilevel"/>
    <w:tmpl w:val="EC48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240E0"/>
    <w:multiLevelType w:val="hybridMultilevel"/>
    <w:tmpl w:val="37B6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75D21"/>
    <w:multiLevelType w:val="hybridMultilevel"/>
    <w:tmpl w:val="1E7A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30BE"/>
    <w:multiLevelType w:val="hybridMultilevel"/>
    <w:tmpl w:val="FFB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F3F74"/>
    <w:multiLevelType w:val="hybridMultilevel"/>
    <w:tmpl w:val="2C0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962B8"/>
    <w:multiLevelType w:val="hybridMultilevel"/>
    <w:tmpl w:val="281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D0071"/>
    <w:multiLevelType w:val="hybridMultilevel"/>
    <w:tmpl w:val="955EE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682874"/>
    <w:multiLevelType w:val="hybridMultilevel"/>
    <w:tmpl w:val="3A0A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43"/>
    <w:rsid w:val="00216C8F"/>
    <w:rsid w:val="003A5EC4"/>
    <w:rsid w:val="00546328"/>
    <w:rsid w:val="007701F8"/>
    <w:rsid w:val="00A14441"/>
    <w:rsid w:val="00D75BAB"/>
    <w:rsid w:val="00E05543"/>
    <w:rsid w:val="00E7385B"/>
    <w:rsid w:val="00F2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DAAD-B5F7-4993-8535-70CD83E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05543"/>
    <w:rPr>
      <w:sz w:val="16"/>
      <w:szCs w:val="16"/>
    </w:rPr>
  </w:style>
  <w:style w:type="paragraph" w:styleId="CommentText">
    <w:name w:val="annotation text"/>
    <w:basedOn w:val="Normal"/>
    <w:link w:val="CommentTextChar"/>
    <w:uiPriority w:val="99"/>
    <w:rsid w:val="00E0554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E05543"/>
    <w:rPr>
      <w:rFonts w:ascii="Times New Roman" w:eastAsia="Times New Roman" w:hAnsi="Times New Roman" w:cs="Times New Roman"/>
      <w:sz w:val="20"/>
      <w:szCs w:val="20"/>
      <w:lang w:eastAsia="en-GB"/>
    </w:rPr>
  </w:style>
  <w:style w:type="table" w:styleId="TableGrid">
    <w:name w:val="Table Grid"/>
    <w:basedOn w:val="TableNormal"/>
    <w:uiPriority w:val="39"/>
    <w:rsid w:val="00E0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54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43"/>
    <w:rPr>
      <w:rFonts w:ascii="Segoe UI" w:hAnsi="Segoe UI" w:cs="Segoe UI"/>
      <w:sz w:val="18"/>
      <w:szCs w:val="18"/>
    </w:rPr>
  </w:style>
  <w:style w:type="paragraph" w:styleId="Header">
    <w:name w:val="header"/>
    <w:basedOn w:val="Normal"/>
    <w:link w:val="HeaderChar"/>
    <w:uiPriority w:val="99"/>
    <w:unhideWhenUsed/>
    <w:rsid w:val="00E7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85B"/>
  </w:style>
  <w:style w:type="paragraph" w:styleId="Footer">
    <w:name w:val="footer"/>
    <w:basedOn w:val="Normal"/>
    <w:link w:val="FooterChar"/>
    <w:uiPriority w:val="99"/>
    <w:unhideWhenUsed/>
    <w:rsid w:val="00E7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D20D98D6</Template>
  <TotalTime>50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5</cp:revision>
  <dcterms:created xsi:type="dcterms:W3CDTF">2020-04-07T15:28:00Z</dcterms:created>
  <dcterms:modified xsi:type="dcterms:W3CDTF">2020-08-14T09:05:00Z</dcterms:modified>
</cp:coreProperties>
</file>